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4"/>
          <w:szCs w:val="24"/>
          <w:b/>
          <w:bCs/>
        </w:rPr>
      </w:pPr>
      <w:r>
        <w:rPr>
          <w:rFonts w:ascii="Times New Roman" w:hAnsi="Times New Roman" w:cs="Times New Roman" w:eastAsia="Times New Roman"/>
          <w:sz w:val="24"/>
          <w:szCs w:val="24"/>
          <w:b/>
          <w:bCs/>
        </w:rPr>
        <w:t xml:space="preserve">СВОД ПРАВИЛ</w:t>
      </w:r>
    </w:p>
    <w:p>
      <w:pPr>
        <w:pStyle w:val="Normal"/>
        <w:spacing w:after="240" w:line="360" w:lineRule="auto"/>
        <w:jc w:val="center"/>
        <w:rPr>
          <w:rFonts w:ascii="Times New Roman" w:hAnsi="Times New Roman" w:cs="Times New Roman" w:eastAsia="Times New Roman"/>
          <w:sz w:val="44"/>
          <w:szCs w:val="44"/>
          <w:b/>
          <w:bCs/>
        </w:rPr>
      </w:pPr>
      <w:r>
        <w:rPr>
          <w:rFonts w:ascii="Times New Roman" w:hAnsi="Times New Roman" w:cs="Times New Roman" w:eastAsia="Times New Roman"/>
          <w:sz w:val="44"/>
          <w:szCs w:val="44"/>
          <w:b/>
          <w:bCs/>
        </w:rPr>
        <w:t xml:space="preserve">СП 365.1325800.2017</w:t>
      </w:r>
    </w:p>
    <w:p>
      <w:pPr>
        <w:pStyle w:val="Normal"/>
        <w:spacing w:after="360" w:line="360" w:lineRule="auto"/>
        <w:jc w:val="center"/>
        <w:rPr>
          <w:rFonts w:ascii="Times New Roman" w:hAnsi="Times New Roman" w:cs="Times New Roman" w:eastAsia="Times New Roman"/>
          <w:sz w:val="28"/>
          <w:szCs w:val="28"/>
          <w:b/>
          <w:bCs/>
        </w:rPr>
      </w:pPr>
      <w:r>
        <w:rPr>
          <w:rFonts w:ascii="Times New Roman" w:hAnsi="Times New Roman" w:cs="Times New Roman" w:eastAsia="Times New Roman"/>
          <w:sz w:val="28"/>
          <w:szCs w:val="28"/>
          <w:b/>
          <w:bCs/>
        </w:rPr>
        <w:t xml:space="preserve">Акт на просвечивание вертикальных стыков стенки СП 365.1325800.2017</w:t>
      </w:r>
    </w:p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 xml:space="preserve">Перенабор Справочника проектировщика Стилар.</w:t>
      </w:r>
    </w:p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 xml:space="preserve">Не является официальным изданием и сканом Стандартинформа.</w:t>
      </w:r>
    </w:p>
    <w:p>
      <w:r>
        <w:br w:type="page"/>
      </w:r>
    </w:p>
    <w:p>
      <w:pPr>
        <w:pStyle w:val="Heading2"/>
        <w:spacing w:after="200" w:line="360" w:lineRule="auto"/>
        <w:jc w:val="center"/>
        <w:rPr>
          <w:rFonts w:ascii="Times New Roman" w:hAnsi="Times New Roman" w:cs="Times New Roman" w:eastAsia="Times New Roman"/>
          <w:sz w:val="26"/>
          <w:szCs w:val="26"/>
          <w:b/>
          <w:bCs/>
        </w:rPr>
      </w:pPr>
      <w:r>
        <w:rPr>
          <w:rFonts w:ascii="Times New Roman" w:hAnsi="Times New Roman" w:cs="Times New Roman" w:eastAsia="Times New Roman"/>
          <w:sz w:val="26"/>
          <w:szCs w:val="26"/>
          <w:b/>
          <w:bCs/>
        </w:rPr>
        <w:t xml:space="preserve">Форма А.8 — Акт на просвечивание вертикальных монтажных стыков стенки резервуара</w:t>
      </w:r>
    </w:p>
    <w:p>
      <w:pPr>
        <w:pStyle w:val="Heading2"/>
        <w:spacing w:after="200" w:line="360" w:lineRule="auto"/>
        <w:jc w:val="center"/>
        <w:rPr>
          <w:rFonts w:ascii="Times New Roman" w:hAnsi="Times New Roman" w:cs="Times New Roman" w:eastAsia="Times New Roman"/>
          <w:sz w:val="26"/>
          <w:szCs w:val="26"/>
          <w:b/>
          <w:bCs/>
        </w:rPr>
      </w:pPr>
      <w:r>
        <w:rPr>
          <w:rFonts w:ascii="Times New Roman" w:hAnsi="Times New Roman" w:cs="Times New Roman" w:eastAsia="Times New Roman"/>
          <w:sz w:val="26"/>
          <w:szCs w:val="26"/>
          <w:b/>
          <w:bCs/>
        </w:rPr>
        <w:t xml:space="preserve">АКТ на просвечивание вертикальных монтажных стыков стенки резервуара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«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»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20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г.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Объем резервуара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м³ Номер резервуара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 объекта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Мы, нижеподписавшиеся, представители: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Заказчика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Монтажной организации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Организации, осуществляющей строительный контроль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составили настоящий акт в том, что просвеченные швы (см. схему резервуара) выполнены сварщиками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клеймо/шифр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Просвечивание произведено в соответствии с технологической картой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В результате просвечивания установлено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 основании вышеуказанного резервуар может быть представлен к гидравлическим испытаниям.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Приложение. Схема просвеченных вертикальных стыков стенки резервуара и заключение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радиографа в соответствии с ГОСТ 7512–82.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Подписи: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подпись, ФИО, дата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подпись, ФИО, дата</w:t>
      </w:r>
    </w:p>
    <w:sectPr>
      <w:headerReference w:type="default" r:id="rId2"/>
      <w:pgSz w:w="11906" w:h="16838"/>
      <w:pgMar w:top="1134" w:right="1134" w:bottom="1134" w:left="1701" w:header="567" w:footer="709"/>
      <w:titlePg/>
    </w:sectPr>
  </w:body>
</w:document>
</file>

<file path=word/fontTable.xml><?xml version="1.0" encoding="utf-8"?>
<w:fonts xmlns:w="http://schemas.openxmlformats.org/wordprocessingml/2006/main">
  <w:font w:name="Times New Roman">
    <w:charset w:val="CC"/>
    <w:family w:val="roman"/>
    <w:pitch w:val="variable"/>
  </w:font>
</w:fonts>
</file>

<file path=word/header1.xml><?xml version="1.0" encoding="utf-8"?>
<w:hdr xmlns:w="http://schemas.openxmlformats.org/wordprocessingml/2006/main">
  <w:p>
    <w:pPr>
      <w:jc w:val="center"/>
      <w:pBdr>
        <w:bottom w:val="single" w:sz="6" w:space="4" w:color="000000"/>
      </w:pBdr>
    </w:pPr>
    <w:r>
      <w:rPr>
        <w:rFonts w:ascii="Times New Roman" w:hAnsi="Times New Roman"/>
        <w:sz w:val="20"/>
      </w:rPr>
      <w:t xml:space="preserve">СП 365.1325800.2017 — </w:t>
    </w:r>
    <w:r>
      <w:fldChar w:fldCharType="begin"/>
    </w:r>
    <w:r>
      <w:instrText xml:space="preserve"> PAGE </w:instrText>
    </w:r>
    <w:r>
      <w:fldChar w:fldCharType="end"/>
    </w:r>
  </w:p>
</w:hdr>
</file>

<file path=word/settings.xml><?xml version="1.0" encoding="utf-8"?>
<w:settings xmlns:w="http://schemas.openxmlformats.org/wordprocessingml/2006/main">
  <w:evenAndOddHeaders w:val="false"/>
</w:settings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Times New Roman" w:hAnsi="Times New Roman" w:cs="Times New Roman"/>
      <w:sz w:val="24"/>
      <w:szCs w:val="24"/>
    </w:rPr>
  </w:style>
  <w:style w:type="paragraph" w:styleId="Heading2">
    <w:name w:val="Heading 2"/>
    <w:basedOn w:val="Normal"/>
    <w:pPr>
      <w:jc w:val="center"/>
    </w:pPr>
    <w:rPr>
      <w:b/>
      <w:sz w:val="26"/>
      <w:szCs w:val="26"/>
    </w:rPr>
  </w:style>
  <w:style w:type="paragraph" w:styleId="Heading3">
    <w:name w:val="Heading 3"/>
    <w:basedOn w:val="Normal"/>
    <w:pPr>
      <w:jc w:val="left"/>
    </w:pPr>
    <w:rPr>
      <w:b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/Relationships>
</file>